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F8B" w14:textId="77777777" w:rsidR="00D03595" w:rsidRDefault="00843BE7">
      <w:pPr>
        <w:pStyle w:val="25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bCs/>
          <w:iCs/>
          <w:sz w:val="28"/>
          <w:szCs w:val="28"/>
        </w:rPr>
        <w:t>Приложение «Разъяснения по заполнению формы 4-тэр».</w:t>
      </w:r>
    </w:p>
    <w:p w14:paraId="4F603797" w14:textId="77777777" w:rsidR="00D03595" w:rsidRDefault="00D03595">
      <w:pPr>
        <w:pStyle w:val="25"/>
        <w:spacing w:line="360" w:lineRule="auto"/>
        <w:jc w:val="right"/>
        <w:rPr>
          <w:bCs/>
          <w:iCs/>
          <w:sz w:val="24"/>
          <w:szCs w:val="24"/>
        </w:rPr>
      </w:pPr>
    </w:p>
    <w:p w14:paraId="39416B81" w14:textId="77777777" w:rsidR="00D03595" w:rsidRDefault="00843BE7">
      <w:pPr>
        <w:pStyle w:val="25"/>
        <w:spacing w:line="24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rStyle w:val="docdata"/>
          <w:b w:val="0"/>
          <w:bCs/>
          <w:color w:val="000000"/>
          <w:sz w:val="28"/>
          <w:szCs w:val="28"/>
        </w:rPr>
        <w:t xml:space="preserve">При заполнении отчета по форме № </w:t>
      </w:r>
      <w:r>
        <w:rPr>
          <w:b w:val="0"/>
          <w:bCs/>
          <w:sz w:val="28"/>
          <w:szCs w:val="28"/>
        </w:rPr>
        <w:t xml:space="preserve">4-ТЭР </w:t>
      </w:r>
      <w:r>
        <w:rPr>
          <w:b w:val="0"/>
          <w:bCs/>
          <w:color w:val="000000"/>
          <w:sz w:val="28"/>
          <w:szCs w:val="28"/>
        </w:rPr>
        <w:t xml:space="preserve">следует руководствоваться Указаниями по заполнению формы федерального статистического наблюдения, приведенными на бланке формы. Также следует обратить внимание на следующие пункты: </w:t>
      </w:r>
    </w:p>
    <w:p w14:paraId="1DC610ED" w14:textId="77777777" w:rsidR="00D03595" w:rsidRDefault="00843BE7">
      <w:pPr>
        <w:pStyle w:val="25"/>
        <w:spacing w:line="240" w:lineRule="auto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1</w:t>
      </w:r>
    </w:p>
    <w:p w14:paraId="52841E80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1. Организации и предприятия, которые заполнили данные </w:t>
      </w:r>
      <w:r>
        <w:rPr>
          <w:b w:val="0"/>
          <w:iCs/>
          <w:sz w:val="28"/>
          <w:szCs w:val="28"/>
        </w:rPr>
        <w:br/>
        <w:t>по графам</w:t>
      </w:r>
      <w:r>
        <w:rPr>
          <w:b w:val="0"/>
          <w:iCs/>
          <w:sz w:val="28"/>
          <w:szCs w:val="28"/>
        </w:rPr>
        <w:t xml:space="preserve"> 3 и 5 об использовании в качестве моторного топлива следующие виды топлива: бензин автомобильный, топливо дизельное, газ горючий природный (газ естественный) газ сжиженный, пропан и бутан сжиженные </w:t>
      </w:r>
      <w:r>
        <w:rPr>
          <w:b w:val="0"/>
          <w:sz w:val="28"/>
          <w:szCs w:val="28"/>
        </w:rPr>
        <w:t xml:space="preserve"> из общего количества указанных видов топлива в </w:t>
      </w:r>
      <w:r>
        <w:rPr>
          <w:b w:val="0"/>
          <w:iCs/>
          <w:sz w:val="28"/>
          <w:szCs w:val="28"/>
        </w:rPr>
        <w:t>графе</w:t>
      </w:r>
      <w:r>
        <w:rPr>
          <w:b w:val="0"/>
          <w:sz w:val="28"/>
          <w:szCs w:val="28"/>
        </w:rPr>
        <w:t xml:space="preserve"> 6 п</w:t>
      </w:r>
      <w:r>
        <w:rPr>
          <w:b w:val="0"/>
          <w:sz w:val="28"/>
          <w:szCs w:val="28"/>
        </w:rPr>
        <w:t>риводят объемы топлива, израсходованного на работу автотранспорта, включая специализированные машины (например, автовозы, лесовозы, фургоны- рефрижераторы, полуприцепы-цистерны) и специальные машины (например, пожарные, санитарные, для городского и коммуна</w:t>
      </w:r>
      <w:r>
        <w:rPr>
          <w:b w:val="0"/>
          <w:sz w:val="28"/>
          <w:szCs w:val="28"/>
        </w:rPr>
        <w:t>льного хозяйства, автокраны, бетономешалки) на шасси с установленными двигателями для автотранспортных средств. Топливо, израсходованное транспортным средством на гусеничном ходу или рельсах не указывается.</w:t>
      </w:r>
    </w:p>
    <w:p w14:paraId="3192FC80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случаях, если учет автомобильного бензина, дизе</w:t>
      </w:r>
      <w:r>
        <w:rPr>
          <w:b w:val="0"/>
          <w:sz w:val="28"/>
          <w:szCs w:val="28"/>
        </w:rPr>
        <w:t>льного топлива, сжиженного газа ведется в литрах, его необходимо перевести в тонны.</w:t>
      </w:r>
    </w:p>
    <w:p w14:paraId="6EED98D5" w14:textId="77777777" w:rsidR="00D03595" w:rsidRDefault="00843BE7">
      <w:pPr>
        <w:pStyle w:val="2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пересчета объемов топлива из литров в тонны рекомендуем использовать следующие коэффициенты.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4837"/>
      </w:tblGrid>
      <w:tr w:rsidR="00D03595" w14:paraId="3A52A535" w14:textId="77777777">
        <w:trPr>
          <w:trHeight w:val="20"/>
        </w:trPr>
        <w:tc>
          <w:tcPr>
            <w:tcW w:w="0" w:type="auto"/>
          </w:tcPr>
          <w:p w14:paraId="2C0D1785" w14:textId="77777777" w:rsidR="00D03595" w:rsidRDefault="00D03595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0D4C11C7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Коэффициент пересчета литра в тонну</w:t>
            </w:r>
          </w:p>
        </w:tc>
      </w:tr>
      <w:tr w:rsidR="00D03595" w14:paraId="54DEECBF" w14:textId="77777777">
        <w:trPr>
          <w:trHeight w:val="20"/>
        </w:trPr>
        <w:tc>
          <w:tcPr>
            <w:tcW w:w="0" w:type="auto"/>
          </w:tcPr>
          <w:p w14:paraId="0F98B8A6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Нефть</w:t>
            </w:r>
          </w:p>
        </w:tc>
        <w:tc>
          <w:tcPr>
            <w:tcW w:w="0" w:type="auto"/>
          </w:tcPr>
          <w:p w14:paraId="70F07C56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0,000860</w:t>
            </w:r>
          </w:p>
        </w:tc>
      </w:tr>
      <w:tr w:rsidR="00D03595" w14:paraId="541A1B6B" w14:textId="77777777">
        <w:trPr>
          <w:trHeight w:val="20"/>
        </w:trPr>
        <w:tc>
          <w:tcPr>
            <w:tcW w:w="0" w:type="auto"/>
          </w:tcPr>
          <w:p w14:paraId="072D3ED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Бензин автомобильный</w:t>
            </w:r>
          </w:p>
        </w:tc>
        <w:tc>
          <w:tcPr>
            <w:tcW w:w="0" w:type="auto"/>
          </w:tcPr>
          <w:p w14:paraId="6DCFB330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0,000750</w:t>
            </w:r>
          </w:p>
        </w:tc>
      </w:tr>
      <w:tr w:rsidR="00D03595" w14:paraId="3E20B19E" w14:textId="77777777">
        <w:trPr>
          <w:trHeight w:val="20"/>
        </w:trPr>
        <w:tc>
          <w:tcPr>
            <w:tcW w:w="0" w:type="auto"/>
          </w:tcPr>
          <w:p w14:paraId="089AAFC4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  <w:lang w:val="en-US"/>
              </w:rPr>
              <w:t>-76</w:t>
            </w:r>
            <w:r>
              <w:rPr>
                <w:b w:val="0"/>
                <w:sz w:val="28"/>
                <w:szCs w:val="28"/>
              </w:rPr>
              <w:t xml:space="preserve"> (АИ-80)</w:t>
            </w:r>
          </w:p>
        </w:tc>
        <w:tc>
          <w:tcPr>
            <w:tcW w:w="0" w:type="auto"/>
          </w:tcPr>
          <w:p w14:paraId="3155A827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0,000715</w:t>
            </w:r>
          </w:p>
        </w:tc>
      </w:tr>
      <w:tr w:rsidR="00D03595" w14:paraId="146556EF" w14:textId="77777777">
        <w:trPr>
          <w:trHeight w:val="20"/>
        </w:trPr>
        <w:tc>
          <w:tcPr>
            <w:tcW w:w="0" w:type="auto"/>
          </w:tcPr>
          <w:p w14:paraId="074ABEE3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АИ-92</w:t>
            </w:r>
          </w:p>
        </w:tc>
        <w:tc>
          <w:tcPr>
            <w:tcW w:w="0" w:type="auto"/>
          </w:tcPr>
          <w:p w14:paraId="5989BEB0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0,000735</w:t>
            </w:r>
          </w:p>
        </w:tc>
      </w:tr>
      <w:tr w:rsidR="00D03595" w14:paraId="361CC125" w14:textId="77777777">
        <w:trPr>
          <w:trHeight w:val="20"/>
        </w:trPr>
        <w:tc>
          <w:tcPr>
            <w:tcW w:w="0" w:type="auto"/>
          </w:tcPr>
          <w:p w14:paraId="0EC4BF0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АИ-95</w:t>
            </w:r>
          </w:p>
        </w:tc>
        <w:tc>
          <w:tcPr>
            <w:tcW w:w="0" w:type="auto"/>
          </w:tcPr>
          <w:p w14:paraId="2CE05B56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0,000750</w:t>
            </w:r>
          </w:p>
        </w:tc>
      </w:tr>
      <w:tr w:rsidR="00D03595" w14:paraId="33F6E268" w14:textId="77777777">
        <w:trPr>
          <w:trHeight w:val="20"/>
        </w:trPr>
        <w:tc>
          <w:tcPr>
            <w:tcW w:w="0" w:type="auto"/>
          </w:tcPr>
          <w:p w14:paraId="082A6630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АИ-98</w:t>
            </w:r>
          </w:p>
        </w:tc>
        <w:tc>
          <w:tcPr>
            <w:tcW w:w="0" w:type="auto"/>
          </w:tcPr>
          <w:p w14:paraId="5D9EE653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0,000765</w:t>
            </w:r>
          </w:p>
        </w:tc>
      </w:tr>
      <w:tr w:rsidR="00D03595" w14:paraId="6B876FBE" w14:textId="77777777">
        <w:trPr>
          <w:trHeight w:val="20"/>
        </w:trPr>
        <w:tc>
          <w:tcPr>
            <w:tcW w:w="0" w:type="auto"/>
          </w:tcPr>
          <w:p w14:paraId="21588AF9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Топливо дизельное</w:t>
            </w:r>
          </w:p>
        </w:tc>
        <w:tc>
          <w:tcPr>
            <w:tcW w:w="0" w:type="auto"/>
          </w:tcPr>
          <w:p w14:paraId="5CD8281B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0,000830</w:t>
            </w:r>
          </w:p>
        </w:tc>
      </w:tr>
      <w:tr w:rsidR="00D03595" w14:paraId="41AC9543" w14:textId="77777777">
        <w:trPr>
          <w:trHeight w:val="20"/>
        </w:trPr>
        <w:tc>
          <w:tcPr>
            <w:tcW w:w="0" w:type="auto"/>
          </w:tcPr>
          <w:p w14:paraId="45D6C75B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летнее</w:t>
            </w:r>
          </w:p>
        </w:tc>
        <w:tc>
          <w:tcPr>
            <w:tcW w:w="0" w:type="auto"/>
          </w:tcPr>
          <w:p w14:paraId="5BAAC74C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0,000830 – до 0,000850</w:t>
            </w:r>
          </w:p>
        </w:tc>
      </w:tr>
      <w:tr w:rsidR="00D03595" w14:paraId="77E85084" w14:textId="77777777">
        <w:trPr>
          <w:trHeight w:val="20"/>
        </w:trPr>
        <w:tc>
          <w:tcPr>
            <w:tcW w:w="0" w:type="auto"/>
          </w:tcPr>
          <w:p w14:paraId="14E6FF56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зимнее</w:t>
            </w:r>
          </w:p>
        </w:tc>
        <w:tc>
          <w:tcPr>
            <w:tcW w:w="0" w:type="auto"/>
          </w:tcPr>
          <w:p w14:paraId="7CDE5178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0,000800 – до 0,000830</w:t>
            </w:r>
          </w:p>
        </w:tc>
      </w:tr>
      <w:tr w:rsidR="00D03595" w14:paraId="716E6FA6" w14:textId="77777777">
        <w:trPr>
          <w:trHeight w:val="20"/>
        </w:trPr>
        <w:tc>
          <w:tcPr>
            <w:tcW w:w="0" w:type="auto"/>
          </w:tcPr>
          <w:p w14:paraId="2665D5C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арктическое</w:t>
            </w:r>
          </w:p>
        </w:tc>
        <w:tc>
          <w:tcPr>
            <w:tcW w:w="0" w:type="auto"/>
          </w:tcPr>
          <w:p w14:paraId="2BC64C6B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0,000800 – до 0,000820 </w:t>
            </w:r>
          </w:p>
        </w:tc>
      </w:tr>
      <w:tr w:rsidR="00D03595" w14:paraId="416DCC45" w14:textId="77777777">
        <w:trPr>
          <w:trHeight w:val="20"/>
        </w:trPr>
        <w:tc>
          <w:tcPr>
            <w:tcW w:w="0" w:type="auto"/>
          </w:tcPr>
          <w:p w14:paraId="34BE17C9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Мазут топочный</w:t>
            </w:r>
          </w:p>
        </w:tc>
        <w:tc>
          <w:tcPr>
            <w:tcW w:w="0" w:type="auto"/>
          </w:tcPr>
          <w:p w14:paraId="7BA343D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0,001000</w:t>
            </w:r>
          </w:p>
        </w:tc>
      </w:tr>
      <w:tr w:rsidR="00D03595" w14:paraId="46754058" w14:textId="77777777">
        <w:trPr>
          <w:trHeight w:val="20"/>
        </w:trPr>
        <w:tc>
          <w:tcPr>
            <w:tcW w:w="0" w:type="auto"/>
          </w:tcPr>
          <w:p w14:paraId="2C424C0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Масла смазочные</w:t>
            </w:r>
          </w:p>
        </w:tc>
        <w:tc>
          <w:tcPr>
            <w:tcW w:w="0" w:type="auto"/>
          </w:tcPr>
          <w:p w14:paraId="066AB382" w14:textId="77777777" w:rsidR="00D03595" w:rsidRDefault="00843BE7">
            <w:pPr>
              <w:pStyle w:val="25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0,000860</w:t>
            </w:r>
          </w:p>
        </w:tc>
      </w:tr>
    </w:tbl>
    <w:p w14:paraId="1B3239B3" w14:textId="77777777" w:rsidR="00D03595" w:rsidRDefault="00D03595">
      <w:pPr>
        <w:pStyle w:val="25"/>
        <w:spacing w:line="240" w:lineRule="auto"/>
        <w:jc w:val="both"/>
        <w:rPr>
          <w:b w:val="0"/>
          <w:sz w:val="28"/>
          <w:szCs w:val="28"/>
        </w:rPr>
      </w:pPr>
    </w:p>
    <w:p w14:paraId="70DC57AC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 строкам 33-36 (графа 3) приводятся данные о расходе тепловой энергии в том числе на отопление (включая отопление производственных помещений)-34, производственно-технологические нужды-35 и горячее водоснабжение-36. В объем р</w:t>
      </w:r>
      <w:r>
        <w:rPr>
          <w:b w:val="0"/>
          <w:sz w:val="28"/>
          <w:szCs w:val="28"/>
        </w:rPr>
        <w:t xml:space="preserve">асхода тепловой энергии не включаются потери в тепловых сетях. </w:t>
      </w:r>
    </w:p>
    <w:p w14:paraId="501C64E8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Объем израсходованного топлива на производство тепловой энергии также должен отражаться в разделе </w:t>
      </w:r>
      <w:proofErr w:type="gramStart"/>
      <w:r>
        <w:rPr>
          <w:b w:val="0"/>
          <w:sz w:val="28"/>
          <w:szCs w:val="28"/>
        </w:rPr>
        <w:t>1  в</w:t>
      </w:r>
      <w:proofErr w:type="gramEnd"/>
      <w:r>
        <w:rPr>
          <w:b w:val="0"/>
          <w:sz w:val="28"/>
          <w:szCs w:val="28"/>
        </w:rPr>
        <w:t xml:space="preserve"> натуральном выражении, а в разделе 2 </w:t>
      </w:r>
      <w:r>
        <w:rPr>
          <w:b w:val="0"/>
          <w:sz w:val="28"/>
          <w:szCs w:val="28"/>
        </w:rPr>
        <w:lastRenderedPageBreak/>
        <w:t>по соответствующей графе- в тоннах условного топлива</w:t>
      </w:r>
      <w:r>
        <w:rPr>
          <w:b w:val="0"/>
          <w:sz w:val="28"/>
          <w:szCs w:val="28"/>
        </w:rPr>
        <w:t>.</w:t>
      </w:r>
    </w:p>
    <w:p w14:paraId="6C580932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Для </w:t>
      </w:r>
      <w:r>
        <w:rPr>
          <w:b w:val="0"/>
          <w:iCs/>
          <w:sz w:val="28"/>
          <w:szCs w:val="28"/>
        </w:rPr>
        <w:t xml:space="preserve">пересчета в </w:t>
      </w:r>
      <w:proofErr w:type="spellStart"/>
      <w:r>
        <w:rPr>
          <w:b w:val="0"/>
          <w:iCs/>
          <w:sz w:val="28"/>
          <w:szCs w:val="28"/>
        </w:rPr>
        <w:t>гигакалории</w:t>
      </w:r>
      <w:proofErr w:type="spellEnd"/>
      <w:r>
        <w:rPr>
          <w:b w:val="0"/>
          <w:iCs/>
          <w:sz w:val="28"/>
          <w:szCs w:val="28"/>
        </w:rPr>
        <w:t xml:space="preserve"> объема израсходованного топлива (дрова, кора, торф и другие виды топлива) можно применить следующие вычисления: объем топлива в натуральных единицах переводится в условное топливо посредством умножения его на соответствующий к</w:t>
      </w:r>
      <w:r>
        <w:rPr>
          <w:b w:val="0"/>
          <w:iCs/>
          <w:sz w:val="28"/>
          <w:szCs w:val="28"/>
        </w:rPr>
        <w:t xml:space="preserve">оэффициент. Полученное количество условного топлива следует разделить на коэффициент пересчета для тепловой энергии (0,14286), чтобы получить объем теплоэнергии в натуральных единицах (Гкал). </w:t>
      </w:r>
    </w:p>
    <w:p w14:paraId="0865B91B" w14:textId="77777777" w:rsidR="00D03595" w:rsidRDefault="00843BE7">
      <w:pPr>
        <w:pStyle w:val="25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Для пересчета тепловой энергии для газовых котлов рекомендуем и</w:t>
      </w:r>
      <w:r>
        <w:rPr>
          <w:b w:val="0"/>
          <w:iCs/>
          <w:sz w:val="28"/>
          <w:szCs w:val="28"/>
        </w:rPr>
        <w:t xml:space="preserve">спользовать коэффициент 0,16436. </w:t>
      </w:r>
    </w:p>
    <w:p w14:paraId="417AF0B0" w14:textId="77777777" w:rsidR="00D03595" w:rsidRDefault="00843BE7">
      <w:pPr>
        <w:pStyle w:val="25"/>
        <w:spacing w:line="240" w:lineRule="auto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2</w:t>
      </w:r>
    </w:p>
    <w:p w14:paraId="24706C67" w14:textId="77777777" w:rsidR="00D03595" w:rsidRDefault="00843BE7">
      <w:pPr>
        <w:pStyle w:val="2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Обращаем в</w:t>
      </w:r>
      <w:r>
        <w:rPr>
          <w:b w:val="0"/>
          <w:sz w:val="28"/>
          <w:szCs w:val="28"/>
        </w:rPr>
        <w:t>аше внимание, что данные о фактическом расходе топлива приводятся в тоннах условного топлива. Для этого конкретный вид топлива из раздела 1 умножают на соответствующий коэффициент перевода.</w:t>
      </w:r>
    </w:p>
    <w:p w14:paraId="07FB6471" w14:textId="77777777" w:rsidR="00D03595" w:rsidRDefault="00843BE7">
      <w:pPr>
        <w:pStyle w:val="25"/>
        <w:spacing w:line="24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ab/>
        <w:t>При заполнении раздела 2 формы данные по объему произведенной про</w:t>
      </w:r>
      <w:r>
        <w:rPr>
          <w:b w:val="0"/>
          <w:iCs/>
          <w:sz w:val="28"/>
          <w:szCs w:val="28"/>
        </w:rPr>
        <w:t>дукции, выполненных работ (услуг) следует сопоставить с аналогичными показателями других форм федерального статистического наблюдения: 1-натура-БМ, 1-ТР (автотранспорт), 65-автотранс, 1-ТЕП, 23-Н,  24-СХ.</w:t>
      </w:r>
    </w:p>
    <w:p w14:paraId="5248FF4B" w14:textId="77777777" w:rsidR="00D03595" w:rsidRDefault="00843BE7">
      <w:pPr>
        <w:pStyle w:val="25"/>
        <w:spacing w:line="240" w:lineRule="auto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Раздел 3</w:t>
      </w:r>
    </w:p>
    <w:p w14:paraId="5576BB95" w14:textId="77777777" w:rsidR="00D03595" w:rsidRDefault="00843BE7">
      <w:pPr>
        <w:pStyle w:val="2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По строкам 41,42 приводятся да</w:t>
      </w:r>
      <w:r>
        <w:rPr>
          <w:b w:val="0"/>
          <w:sz w:val="28"/>
          <w:szCs w:val="28"/>
        </w:rPr>
        <w:t>нные соответственно о количестве приборов учета электрической энергии и приборов по учету мощности (при наличии).</w:t>
      </w:r>
    </w:p>
    <w:p w14:paraId="47072D14" w14:textId="77777777" w:rsidR="00D03595" w:rsidRDefault="00843BE7">
      <w:pPr>
        <w:pStyle w:val="2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Приборы учета электрической мощности </w:t>
      </w:r>
      <w:proofErr w:type="gramStart"/>
      <w:r>
        <w:rPr>
          <w:b w:val="0"/>
          <w:sz w:val="28"/>
          <w:szCs w:val="28"/>
        </w:rPr>
        <w:t>- это</w:t>
      </w:r>
      <w:proofErr w:type="gramEnd"/>
      <w:r>
        <w:rPr>
          <w:b w:val="0"/>
          <w:sz w:val="28"/>
          <w:szCs w:val="28"/>
        </w:rPr>
        <w:t xml:space="preserve"> специальные приборы, обеспечивающие мгновенный учет мощности (активной, реактивной) на основе изме</w:t>
      </w:r>
      <w:r>
        <w:rPr>
          <w:b w:val="0"/>
          <w:sz w:val="28"/>
          <w:szCs w:val="28"/>
        </w:rPr>
        <w:t>рения величины (силы) тока (ампер), величины напряжения (вольт), а так же фазового сдвига в гармониках.</w:t>
      </w:r>
    </w:p>
    <w:p w14:paraId="79592BF5" w14:textId="77777777" w:rsidR="00D03595" w:rsidRDefault="00843BE7">
      <w:pPr>
        <w:pStyle w:val="2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 По строкам 43,44,45,46 приводятся данные о количестве приборов учета тепловой энергии, горячей, холодной воды и газа соответственно.</w:t>
      </w:r>
    </w:p>
    <w:p w14:paraId="6CF85215" w14:textId="77777777" w:rsidR="00D03595" w:rsidRDefault="00843BE7">
      <w:pPr>
        <w:pStyle w:val="25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Приборы учета, по которым расчеты поставщиков энергетических ресурсов с потребителями энергетических ресурсов не осуществляются (внутрицеховые счетчики), в данные по графам 1-3 не включаются.</w:t>
      </w:r>
    </w:p>
    <w:p w14:paraId="0D71E80B" w14:textId="77777777" w:rsidR="00D03595" w:rsidRDefault="00843BE7">
      <w:pPr>
        <w:pStyle w:val="25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По графе 1 «Общая потребность в количестве приборов</w:t>
      </w:r>
      <w:r>
        <w:rPr>
          <w:b w:val="0"/>
          <w:sz w:val="28"/>
          <w:szCs w:val="28"/>
        </w:rPr>
        <w:t xml:space="preserve"> учета в расчетных точках» приводятся данные об общей потребности в оснащении (количестве) приборами учета, включая уже установленные.</w:t>
      </w:r>
    </w:p>
    <w:p w14:paraId="65DF9D93" w14:textId="77777777" w:rsidR="00D03595" w:rsidRDefault="00843BE7">
      <w:pPr>
        <w:pStyle w:val="25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графе 2 «Фактическое количество приборов учета, всего введено на конец отчётного периода» приводят данные о количестве</w:t>
      </w:r>
      <w:r>
        <w:rPr>
          <w:b w:val="0"/>
          <w:sz w:val="28"/>
          <w:szCs w:val="28"/>
        </w:rPr>
        <w:t xml:space="preserve"> фактически установленных приборов учета.</w:t>
      </w:r>
    </w:p>
    <w:p w14:paraId="4EACF75A" w14:textId="77777777" w:rsidR="00D03595" w:rsidRDefault="00843BE7">
      <w:pPr>
        <w:ind w:firstLine="708"/>
        <w:rPr>
          <w:bCs/>
        </w:rPr>
      </w:pPr>
      <w:r>
        <w:rPr>
          <w:bCs/>
        </w:rPr>
        <w:t>По графе 3 «В том числе введено в эксплуатацию количество приборов учета» приводятся данные о количестве фактически установленных и введенных в эксплуатацию в течении отчётного года приборов учета.</w:t>
      </w:r>
    </w:p>
    <w:sectPr w:rsidR="00D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508" w14:textId="77777777" w:rsidR="00D03595" w:rsidRDefault="00843BE7">
      <w:r>
        <w:separator/>
      </w:r>
    </w:p>
  </w:endnote>
  <w:endnote w:type="continuationSeparator" w:id="0">
    <w:p w14:paraId="071FBC0A" w14:textId="77777777" w:rsidR="00D03595" w:rsidRDefault="008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2790" w14:textId="77777777" w:rsidR="00D03595" w:rsidRDefault="00843BE7">
      <w:r>
        <w:separator/>
      </w:r>
    </w:p>
  </w:footnote>
  <w:footnote w:type="continuationSeparator" w:id="0">
    <w:p w14:paraId="30D3124C" w14:textId="77777777" w:rsidR="00D03595" w:rsidRDefault="0084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824F8"/>
    <w:multiLevelType w:val="hybridMultilevel"/>
    <w:tmpl w:val="10E46D72"/>
    <w:lvl w:ilvl="0" w:tplc="2B6A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04954A">
      <w:start w:val="1"/>
      <w:numFmt w:val="lowerLetter"/>
      <w:lvlText w:val="%2."/>
      <w:lvlJc w:val="left"/>
      <w:pPr>
        <w:ind w:left="1789" w:hanging="360"/>
      </w:pPr>
    </w:lvl>
    <w:lvl w:ilvl="2" w:tplc="C12ADA5A">
      <w:start w:val="1"/>
      <w:numFmt w:val="lowerRoman"/>
      <w:lvlText w:val="%3."/>
      <w:lvlJc w:val="right"/>
      <w:pPr>
        <w:ind w:left="2509" w:hanging="180"/>
      </w:pPr>
    </w:lvl>
    <w:lvl w:ilvl="3" w:tplc="2EEA2594">
      <w:start w:val="1"/>
      <w:numFmt w:val="decimal"/>
      <w:lvlText w:val="%4."/>
      <w:lvlJc w:val="left"/>
      <w:pPr>
        <w:ind w:left="3229" w:hanging="360"/>
      </w:pPr>
    </w:lvl>
    <w:lvl w:ilvl="4" w:tplc="ECAE725A">
      <w:start w:val="1"/>
      <w:numFmt w:val="lowerLetter"/>
      <w:lvlText w:val="%5."/>
      <w:lvlJc w:val="left"/>
      <w:pPr>
        <w:ind w:left="3949" w:hanging="360"/>
      </w:pPr>
    </w:lvl>
    <w:lvl w:ilvl="5" w:tplc="65C49366">
      <w:start w:val="1"/>
      <w:numFmt w:val="lowerRoman"/>
      <w:lvlText w:val="%6."/>
      <w:lvlJc w:val="right"/>
      <w:pPr>
        <w:ind w:left="4669" w:hanging="180"/>
      </w:pPr>
    </w:lvl>
    <w:lvl w:ilvl="6" w:tplc="4C5CED5E">
      <w:start w:val="1"/>
      <w:numFmt w:val="decimal"/>
      <w:lvlText w:val="%7."/>
      <w:lvlJc w:val="left"/>
      <w:pPr>
        <w:ind w:left="5389" w:hanging="360"/>
      </w:pPr>
    </w:lvl>
    <w:lvl w:ilvl="7" w:tplc="C90C77EA">
      <w:start w:val="1"/>
      <w:numFmt w:val="lowerLetter"/>
      <w:lvlText w:val="%8."/>
      <w:lvlJc w:val="left"/>
      <w:pPr>
        <w:ind w:left="6109" w:hanging="360"/>
      </w:pPr>
    </w:lvl>
    <w:lvl w:ilvl="8" w:tplc="CC765E12">
      <w:start w:val="1"/>
      <w:numFmt w:val="lowerRoman"/>
      <w:lvlText w:val="%9."/>
      <w:lvlJc w:val="right"/>
      <w:pPr>
        <w:ind w:left="6829" w:hanging="180"/>
      </w:pPr>
    </w:lvl>
  </w:abstractNum>
  <w:num w:numId="1" w16cid:durableId="10461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95"/>
    <w:rsid w:val="00843BE7"/>
    <w:rsid w:val="00D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9BED5"/>
  <w15:docId w15:val="{75FD2EEC-440C-4ADE-A7AC-37DDC85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5">
    <w:name w:val="Обычный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Ерюшина Наталья Алексеевна</dc:creator>
  <cp:keywords/>
  <dc:description/>
  <cp:lastModifiedBy>Ерюшина Наталья Алексеевна</cp:lastModifiedBy>
  <cp:revision>2</cp:revision>
  <dcterms:created xsi:type="dcterms:W3CDTF">2024-01-17T12:32:00Z</dcterms:created>
  <dcterms:modified xsi:type="dcterms:W3CDTF">2024-01-17T12:32:00Z</dcterms:modified>
</cp:coreProperties>
</file>